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BF" w:rsidRPr="000F72BF" w:rsidRDefault="000F72BF" w:rsidP="000F72BF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u w:val="single"/>
          <w:lang w:val="el-GR" w:eastAsia="el-GR"/>
        </w:rPr>
      </w:pPr>
      <w:bookmarkStart w:id="0" w:name="_GoBack"/>
      <w:bookmarkEnd w:id="0"/>
      <w:r w:rsidRPr="000F72BF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l-GR" w:eastAsia="el-GR"/>
        </w:rPr>
        <w:t>ΥΠΟΔΕΙΓΜΑ ΟΙΚΟΝΟΜΙΚΗΣ ΠΡΟΣΦΟΡΑΣ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Επωνυμία Εταιρείας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0F72BF" w:rsidRPr="000F72BF" w:rsidRDefault="000F72BF" w:rsidP="000F72B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ΑΦΜ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0F72BF" w:rsidRPr="000F72BF" w:rsidRDefault="000F72BF" w:rsidP="000F72B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Στοιχεία Επικοινωνίας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0F72BF" w:rsidRPr="000F72BF" w:rsidRDefault="000F72BF" w:rsidP="000F72B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ΙΒΑΝ Λογαριασμού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0F72BF" w:rsidRPr="000F72BF" w:rsidRDefault="000F72BF" w:rsidP="000F72BF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</w:p>
    <w:tbl>
      <w:tblPr>
        <w:tblW w:w="87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103"/>
        <w:gridCol w:w="2809"/>
        <w:gridCol w:w="426"/>
        <w:gridCol w:w="615"/>
        <w:gridCol w:w="804"/>
        <w:gridCol w:w="1026"/>
        <w:gridCol w:w="977"/>
        <w:gridCol w:w="650"/>
      </w:tblGrid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Περιγραφή Είδους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Ποσό-τητα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Τιμή Μ.Μ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Συνολική Αξία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Ολογράφως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Φ.Π.Α. (%)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44161410-3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Ενισχυμένο στο ένα άκρο (One end reinforced) σύνδεση PLEM ως Τεχνική Προσφορά.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44161410-3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Κεντρικής γραμμής (mainline)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44161410-3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Ακραίο τεμάχιο σύνδεσης στο πλοίο (Tanker rail hose)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42131280-2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Βάνα τύπου "πεταλούδας", οκτώ (8) οπών, διαμέτρου 6'', διπλής φλάντζας, ονομαστικής πίεσης λειτουργίας 10 έως 16 atm (DIN PN10 ή DIN PN16), με σώμα ductile cast iron, stem από ανοξείδωτο ατσάλι, μετά του μοχλού λειτουργίας της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44167110-2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Φλάντζα, "τυφλή", 6΄΄ 150 ASA οχτώ (8) οπών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44531510-9 44531600-7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Κοχλίες inox, με σπείρωμα καθ'όλο το μήκος, κατάλληλοι για θαλάσσιο περιβάλλον, μετά των αντίστοιχων περικοχλίων τους, διατομής κατάλληλης για εφαρμογή στις φλάντζες των ανωτέρω αγωγών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44167110-2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2BF" w:rsidRPr="000F72BF" w:rsidRDefault="000F72BF" w:rsidP="000F72B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Φλάντζες περμανίτη, 6'' ως Τεχνική 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0F72BF" w:rsidRPr="000F72BF" w:rsidTr="000656E5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Σύνολο χωρίς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0F72BF" w:rsidRPr="000F72BF" w:rsidTr="000656E5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0F72BF" w:rsidRPr="000F72BF" w:rsidTr="000656E5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0F72BF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Σύνολο με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72BF" w:rsidRPr="000F72BF" w:rsidRDefault="000F72BF" w:rsidP="000F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</w:tbl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  <w:t>ΠΑΡΑΤΗΡΗΣΕΙΣ</w:t>
      </w:r>
    </w:p>
    <w:p w:rsidR="000F72BF" w:rsidRPr="000F72BF" w:rsidRDefault="000F72BF" w:rsidP="000F72BF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1.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Στην ανωτέρω τιμή συμπεριλαμβάνονται οι κρατήσεις υπέρ δημοσίου ποσοστού 0,13468% και η παρακράτηση φόρου εισοδήματος ποσοστού 4%, ποσά τα οποία θα παρακρατηθούν κατά την εξόφληση.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b/>
          <w:color w:val="00000A"/>
          <w:sz w:val="24"/>
          <w:szCs w:val="24"/>
          <w:lang w:val="el-GR" w:eastAsia="el-GR"/>
        </w:rPr>
        <w:lastRenderedPageBreak/>
        <w:tab/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2.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Πλέον των ανωτέρω, ο Προμηθευτής βαρύνεται με τα ακόλουθα λοιπά έξοδα: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α.</w:t>
      </w:r>
      <w:r w:rsidRPr="000F72BF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Μεταφορικά, ζυγιστικά, εκφορτωτικά, π</w:t>
      </w:r>
      <w:r w:rsidRPr="000F72BF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>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β.</w:t>
      </w:r>
      <w:r w:rsidRPr="000F72BF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right" w:pos="1338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b/>
          <w:bCs/>
          <w:color w:val="00000A"/>
          <w:sz w:val="24"/>
          <w:szCs w:val="24"/>
          <w:lang w:val="el-GR" w:eastAsia="el-GR"/>
        </w:rPr>
        <w:tab/>
      </w:r>
      <w:r w:rsidRPr="000F72BF"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  <w:t>γ.</w:t>
      </w:r>
      <w:r w:rsidRPr="000F72BF"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  <w:tab/>
        <w:t>Κάθε άλλο κρυφό έξοδο το οποίο δεν προσδιορίζεται στην προσφορά.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0F72BF">
        <w:rPr>
          <w:rFonts w:ascii="Arial" w:eastAsia="Times New Roman" w:hAnsi="Arial" w:cs="Arial"/>
          <w:b/>
          <w:color w:val="00000A"/>
          <w:sz w:val="24"/>
          <w:szCs w:val="24"/>
          <w:lang w:val="el-GR" w:eastAsia="el-GR"/>
        </w:rPr>
        <w:tab/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3.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Η ισχύς της προσφοράς είναι .................................. (τουλάχιστον εκατόν πενήντα (150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eastAsia="el-GR"/>
        </w:rPr>
        <w:t>)</w:t>
      </w:r>
      <w:r w:rsidRPr="000F72BF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 xml:space="preserve"> ημέρες).</w:t>
      </w: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1E65AC" w:rsidRPr="000F72BF" w:rsidRDefault="001E65AC">
      <w:pPr>
        <w:rPr>
          <w:lang w:val="el-GR"/>
        </w:rPr>
      </w:pPr>
    </w:p>
    <w:sectPr w:rsidR="001E65AC" w:rsidRPr="000F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BF"/>
    <w:rsid w:val="000F72BF"/>
    <w:rsid w:val="001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9AFE8-A0BE-427D-B3C4-F8EDBC94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2021-05-21T12:37:00Z</dcterms:created>
  <dcterms:modified xsi:type="dcterms:W3CDTF">2021-05-21T12:38:00Z</dcterms:modified>
</cp:coreProperties>
</file>