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5E5A44" w:rsidP="00285B8C">
            <w:pPr>
              <w:ind w:firstLine="0"/>
              <w:rPr>
                <w:rFonts w:ascii="Arial" w:hAnsi="Arial" w:cs="Arial"/>
              </w:rPr>
            </w:pPr>
            <w:r>
              <w:rPr>
                <w:rFonts w:ascii="Arial" w:hAnsi="Arial" w:cs="Arial"/>
                <w:lang w:val="en-US"/>
              </w:rPr>
              <w:t xml:space="preserve"> </w:t>
            </w:r>
            <w:r w:rsidR="00285B8C">
              <w:rPr>
                <w:rFonts w:ascii="Arial" w:hAnsi="Arial" w:cs="Arial"/>
                <w:lang w:val="en-US"/>
              </w:rPr>
              <w:t>18</w:t>
            </w:r>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285B8C">
        <w:rPr>
          <w:rFonts w:ascii="Arial" w:hAnsi="Arial" w:cs="Arial"/>
          <w:u w:val="single"/>
          <w:lang w:val="en-US"/>
        </w:rPr>
        <w:t>2948</w:t>
      </w:r>
      <w:r w:rsidR="00721613" w:rsidRPr="002659CD">
        <w:rPr>
          <w:rFonts w:ascii="Arial" w:hAnsi="Arial" w:cs="Arial"/>
          <w:u w:val="single"/>
        </w:rPr>
        <w:t>/Σ</w:t>
      </w:r>
      <w:r w:rsidR="002659CD" w:rsidRPr="002659CD">
        <w:rPr>
          <w:rFonts w:ascii="Arial" w:hAnsi="Arial" w:cs="Arial"/>
          <w:u w:val="single"/>
        </w:rPr>
        <w:t>.</w:t>
      </w:r>
      <w:r w:rsidR="00285B8C">
        <w:rPr>
          <w:rFonts w:ascii="Arial" w:hAnsi="Arial" w:cs="Arial"/>
          <w:u w:val="single"/>
          <w:lang w:val="en-US"/>
        </w:rPr>
        <w:t>1003</w:t>
      </w:r>
      <w:bookmarkStart w:id="0" w:name="_GoBack"/>
      <w:bookmarkEnd w:id="0"/>
      <w:r w:rsidR="00C9719F">
        <w:rPr>
          <w:rFonts w:ascii="Arial" w:hAnsi="Arial" w:cs="Arial"/>
          <w:u w:val="single"/>
        </w:rPr>
        <w:t xml:space="preserve">            </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510CF1" w:rsidRDefault="00510CF1" w:rsidP="000A20AF">
            <w:pPr>
              <w:suppressAutoHyphens/>
              <w:spacing w:line="276" w:lineRule="auto"/>
              <w:ind w:firstLine="0"/>
              <w:rPr>
                <w:rFonts w:ascii="Calibri" w:hAnsi="Calibri" w:cs="Arial"/>
                <w:color w:val="000000"/>
                <w:sz w:val="22"/>
                <w:szCs w:val="22"/>
              </w:rPr>
            </w:pPr>
            <w:r w:rsidRPr="00510CF1">
              <w:rPr>
                <w:rFonts w:ascii="Calibri" w:hAnsi="Calibri" w:cs="Arial"/>
                <w:color w:val="000000"/>
                <w:sz w:val="22"/>
                <w:szCs w:val="22"/>
              </w:rPr>
              <w:t xml:space="preserve">Προμήθεια φίλτρων αεροπορικού καυσίμου για ανάγκες της ΠΑ (O/N 213052), CPV: 42514300-5 </w:t>
            </w:r>
            <w:r>
              <w:rPr>
                <w:rFonts w:ascii="Calibri" w:hAnsi="Calibri" w:cs="Arial"/>
                <w:color w:val="000000"/>
                <w:sz w:val="22"/>
                <w:szCs w:val="22"/>
              </w:rPr>
              <w:t>(</w:t>
            </w:r>
            <w:r w:rsidRPr="00510CF1">
              <w:rPr>
                <w:rFonts w:ascii="Calibri" w:hAnsi="Calibri" w:cs="Arial"/>
                <w:color w:val="000000"/>
                <w:sz w:val="22"/>
                <w:szCs w:val="22"/>
              </w:rPr>
              <w:t>Συσκευές διήθησης)</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proofErr w:type="spellStart"/>
            <w:r w:rsidR="009C56C1">
              <w:rPr>
                <w:rFonts w:ascii="Arial" w:hAnsi="Arial" w:cs="Arial"/>
              </w:rPr>
              <w:t>Δ</w:t>
            </w:r>
            <w:r w:rsidR="00CC5DCF">
              <w:rPr>
                <w:rFonts w:ascii="Arial" w:hAnsi="Arial" w:cs="Arial"/>
              </w:rPr>
              <w:t>ημ</w:t>
            </w:r>
            <w:proofErr w:type="spellEnd"/>
            <w:r w:rsidR="00CC5DCF">
              <w:rPr>
                <w:rFonts w:ascii="Arial" w:hAnsi="Arial" w:cs="Arial"/>
              </w:rPr>
              <w:t>. Δημητρόπουλος</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sidR="00CC5DCF">
              <w:rPr>
                <w:rFonts w:ascii="Arial" w:hAnsi="Arial" w:cs="Arial"/>
              </w:rPr>
              <w:t>Επιτελής 201 ΚΕΦΑ/</w:t>
            </w:r>
            <w:r>
              <w:rPr>
                <w:rFonts w:ascii="Arial" w:hAnsi="Arial" w:cs="Arial"/>
              </w:rPr>
              <w:t>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64" w:rsidRDefault="00214D64" w:rsidP="007F5D3B">
      <w:r>
        <w:separator/>
      </w:r>
    </w:p>
  </w:endnote>
  <w:endnote w:type="continuationSeparator" w:id="0">
    <w:p w:rsidR="00214D64" w:rsidRDefault="00214D64"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F" w:rsidRPr="009C765A" w:rsidRDefault="000A20AF" w:rsidP="009C765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64" w:rsidRDefault="00214D64">
      <w:r>
        <w:separator/>
      </w:r>
    </w:p>
  </w:footnote>
  <w:footnote w:type="continuationSeparator" w:id="0">
    <w:p w:rsidR="00214D64" w:rsidRDefault="00214D64">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9C765A" w:rsidRPr="009C765A" w:rsidRDefault="009C765A" w:rsidP="009C765A">
        <w:pPr>
          <w:pStyle w:val="af"/>
          <w:ind w:firstLine="0"/>
          <w:jc w:val="center"/>
          <w:rPr>
            <w:rFonts w:ascii="Arial" w:hAnsi="Arial" w:cs="Arial"/>
          </w:rPr>
        </w:pPr>
        <w:r w:rsidRPr="009C765A">
          <w:rPr>
            <w:rFonts w:ascii="Arial" w:hAnsi="Arial" w:cs="Arial"/>
          </w:rPr>
          <w:t xml:space="preserve">Β - 1 - </w:t>
        </w:r>
        <w:r w:rsidRPr="009C765A">
          <w:rPr>
            <w:rFonts w:ascii="Arial" w:hAnsi="Arial" w:cs="Arial"/>
          </w:rPr>
          <w:fldChar w:fldCharType="begin"/>
        </w:r>
        <w:r w:rsidRPr="009C765A">
          <w:rPr>
            <w:rFonts w:ascii="Arial" w:hAnsi="Arial" w:cs="Arial"/>
          </w:rPr>
          <w:instrText xml:space="preserve"> PAGE   \* MERGEFORMAT </w:instrText>
        </w:r>
        <w:r w:rsidRPr="009C765A">
          <w:rPr>
            <w:rFonts w:ascii="Arial" w:hAnsi="Arial" w:cs="Arial"/>
          </w:rPr>
          <w:fldChar w:fldCharType="separate"/>
        </w:r>
        <w:r w:rsidR="00285B8C">
          <w:rPr>
            <w:rFonts w:ascii="Arial" w:hAnsi="Arial" w:cs="Arial"/>
            <w:noProof/>
          </w:rPr>
          <w:t>1</w:t>
        </w:r>
        <w:r w:rsidRPr="009C765A">
          <w:rPr>
            <w:rFonts w:ascii="Arial" w:hAnsi="Arial" w:cs="Arial"/>
          </w:rPr>
          <w:fldChar w:fldCharType="end"/>
        </w:r>
      </w:p>
    </w:sdtContent>
  </w:sdt>
  <w:p w:rsidR="009C765A" w:rsidRPr="009C765A" w:rsidRDefault="009C765A" w:rsidP="009C765A">
    <w:pPr>
      <w:pStyle w:val="af"/>
      <w:ind w:firstLine="0"/>
      <w:jc w:val="center"/>
      <w:rPr>
        <w:rFonts w:ascii="Arial" w:hAnsi="Arial" w:cs="Arial"/>
      </w:rPr>
    </w:pPr>
  </w:p>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220"/>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75E"/>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D64"/>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20C"/>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B8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0CF1"/>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4C61"/>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6BD5"/>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4F9C"/>
    <w:rsid w:val="009C56C1"/>
    <w:rsid w:val="009C6221"/>
    <w:rsid w:val="009C6964"/>
    <w:rsid w:val="009C705C"/>
    <w:rsid w:val="009C765A"/>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5DCF"/>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8A4"/>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370"/>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9F686"/>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224B-2814-4BE1-A15E-305EBB75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2698</Words>
  <Characters>14570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17234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19</cp:revision>
  <cp:lastPrinted>2020-03-20T08:32:00Z</cp:lastPrinted>
  <dcterms:created xsi:type="dcterms:W3CDTF">2020-12-03T06:26:00Z</dcterms:created>
  <dcterms:modified xsi:type="dcterms:W3CDTF">2021-02-19T06:48:00Z</dcterms:modified>
</cp:coreProperties>
</file>