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284BE6" w:rsidP="00284BE6">
            <w:pPr>
              <w:ind w:firstLine="0"/>
              <w:rPr>
                <w:rFonts w:ascii="Arial" w:hAnsi="Arial" w:cs="Arial"/>
              </w:rPr>
            </w:pPr>
            <w:r>
              <w:rPr>
                <w:rFonts w:ascii="Arial" w:hAnsi="Arial" w:cs="Arial"/>
              </w:rPr>
              <w:t>23</w:t>
            </w:r>
            <w:r w:rsidR="003A6A12">
              <w:rPr>
                <w:rFonts w:ascii="Arial" w:hAnsi="Arial" w:cs="Arial"/>
                <w:lang w:val="en-US"/>
              </w:rPr>
              <w:t xml:space="preserve"> </w:t>
            </w:r>
            <w:r w:rsidR="00BF0457">
              <w:rPr>
                <w:rFonts w:ascii="Arial" w:hAnsi="Arial" w:cs="Arial"/>
              </w:rPr>
              <w:t>Οκτ</w:t>
            </w:r>
            <w:r w:rsidR="00F5012F" w:rsidRPr="008573E1">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8573E1" w:rsidRPr="008573E1">
        <w:rPr>
          <w:rFonts w:ascii="Arial" w:hAnsi="Arial" w:cs="Arial"/>
          <w:u w:val="single"/>
        </w:rPr>
        <w:t>.</w:t>
      </w:r>
      <w:r w:rsidR="00284BE6">
        <w:rPr>
          <w:rFonts w:ascii="Arial" w:hAnsi="Arial" w:cs="Arial"/>
          <w:u w:val="single"/>
        </w:rPr>
        <w:t>20128/Σ.7229</w:t>
      </w:r>
      <w:bookmarkStart w:id="0" w:name="_GoBack"/>
      <w:bookmarkEnd w:id="0"/>
      <w:r w:rsidR="00F032D5">
        <w:rPr>
          <w:rFonts w:ascii="Arial" w:hAnsi="Arial" w:cs="Arial"/>
          <w:u w:val="single"/>
        </w:rPr>
        <w:t xml:space="preserve"> </w:t>
      </w:r>
    </w:p>
    <w:p w:rsidR="00F5012F" w:rsidRPr="008573E1"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3A6A12">
              <w:rPr>
                <w:rFonts w:ascii="Calibri" w:hAnsi="Calibri" w:cs="Calibri"/>
                <w:kern w:val="1"/>
                <w:sz w:val="22"/>
                <w:szCs w:val="22"/>
                <w:lang w:val="en-US" w:eastAsia="zh-CN"/>
              </w:rPr>
              <w:t>anastasia</w:t>
            </w:r>
            <w:proofErr w:type="spellEnd"/>
            <w:r w:rsidR="003A6A12" w:rsidRPr="003A6A12">
              <w:rPr>
                <w:rFonts w:ascii="Calibri" w:hAnsi="Calibri" w:cs="Calibri"/>
                <w:kern w:val="1"/>
                <w:sz w:val="22"/>
                <w:szCs w:val="22"/>
                <w:lang w:eastAsia="zh-CN"/>
              </w:rPr>
              <w:t>.</w:t>
            </w:r>
            <w:proofErr w:type="spellStart"/>
            <w:r w:rsidR="003A6A12">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72408E" w:rsidRDefault="00471498"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sidRPr="00471498">
              <w:rPr>
                <w:rFonts w:ascii="Calibri" w:hAnsi="Calibri" w:cs="Arial"/>
                <w:color w:val="000000"/>
                <w:sz w:val="22"/>
                <w:szCs w:val="22"/>
              </w:rPr>
              <w:t>Επισκευή</w:t>
            </w:r>
            <w:r w:rsidRPr="0059002B">
              <w:rPr>
                <w:rFonts w:ascii="Calibri" w:hAnsi="Calibri" w:cs="Arial"/>
                <w:color w:val="000000"/>
                <w:sz w:val="22"/>
                <w:szCs w:val="22"/>
              </w:rPr>
              <w:t xml:space="preserve"> </w:t>
            </w:r>
            <w:r w:rsidR="009B132B" w:rsidRPr="009B132B">
              <w:rPr>
                <w:rFonts w:ascii="Calibri" w:hAnsi="Calibri" w:cs="Arial"/>
                <w:color w:val="000000"/>
                <w:sz w:val="22"/>
                <w:szCs w:val="22"/>
              </w:rPr>
              <w:t>Τριών (3) Τεμαχίων Υλικού «</w:t>
            </w:r>
            <w:proofErr w:type="spellStart"/>
            <w:r w:rsidR="009B132B" w:rsidRPr="009B132B">
              <w:rPr>
                <w:rFonts w:ascii="Calibri" w:hAnsi="Calibri" w:cs="Arial"/>
                <w:color w:val="000000"/>
                <w:sz w:val="22"/>
                <w:szCs w:val="22"/>
              </w:rPr>
              <w:t>Servocylinder</w:t>
            </w:r>
            <w:proofErr w:type="spellEnd"/>
            <w:r w:rsidR="009B132B" w:rsidRPr="009B132B">
              <w:rPr>
                <w:rFonts w:ascii="Calibri" w:hAnsi="Calibri" w:cs="Arial"/>
                <w:color w:val="000000"/>
                <w:sz w:val="22"/>
                <w:szCs w:val="22"/>
              </w:rPr>
              <w:t>», Κάλυψης Απαιτήσεων  Α/Φ C</w:t>
            </w:r>
            <w:r w:rsidR="003A6A12">
              <w:rPr>
                <w:rFonts w:ascii="Calibri" w:hAnsi="Calibri" w:cs="Arial"/>
                <w:color w:val="000000"/>
                <w:sz w:val="22"/>
                <w:szCs w:val="22"/>
                <w:lang w:val="en-US"/>
              </w:rPr>
              <w:t>L</w:t>
            </w:r>
            <w:r w:rsidR="009B132B" w:rsidRPr="009B132B">
              <w:rPr>
                <w:rFonts w:ascii="Calibri" w:hAnsi="Calibri" w:cs="Arial"/>
                <w:color w:val="000000"/>
                <w:sz w:val="22"/>
                <w:szCs w:val="22"/>
              </w:rPr>
              <w:t>-415 (Ο/Ν: 20EA42)</w:t>
            </w:r>
            <w:r w:rsidR="0072408E">
              <w:rPr>
                <w:rFonts w:ascii="Calibri" w:hAnsi="Calibri" w:cs="Arial"/>
                <w:color w:val="000000"/>
                <w:sz w:val="22"/>
                <w:szCs w:val="22"/>
              </w:rPr>
              <w:t xml:space="preserve"> </w:t>
            </w:r>
            <w:r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27063E">
              <w:rPr>
                <w:rFonts w:ascii="Calibri" w:hAnsi="Calibri" w:cs="Calibri"/>
                <w:kern w:val="1"/>
                <w:sz w:val="22"/>
                <w:szCs w:val="22"/>
                <w:lang w:eastAsia="zh-CN"/>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F032D5" w:rsidP="00E330FE">
      <w:pPr>
        <w:ind w:right="-99" w:firstLine="0"/>
        <w:rPr>
          <w:rFonts w:ascii="Arial" w:hAnsi="Arial" w:cs="Arial"/>
          <w:sz w:val="20"/>
          <w:szCs w:val="20"/>
        </w:rPr>
      </w:pPr>
      <w:r>
        <w:rPr>
          <w:rFonts w:ascii="Arial" w:hAnsi="Arial" w:cs="Arial"/>
          <w:sz w:val="20"/>
          <w:szCs w:val="20"/>
        </w:rPr>
        <w:t xml:space="preserve"> </w:t>
      </w:r>
    </w:p>
    <w:p w:rsidR="00F032D5" w:rsidRDefault="00F032D5" w:rsidP="00E330FE">
      <w:pPr>
        <w:ind w:right="-99" w:firstLine="0"/>
        <w:rPr>
          <w:rFonts w:ascii="Arial" w:hAnsi="Arial" w:cs="Arial"/>
          <w:sz w:val="20"/>
          <w:szCs w:val="20"/>
        </w:rPr>
      </w:pPr>
    </w:p>
    <w:p w:rsidR="008039F8" w:rsidRDefault="008039F8" w:rsidP="00E330FE">
      <w:pPr>
        <w:ind w:right="-99" w:firstLine="0"/>
        <w:rPr>
          <w:rFonts w:ascii="Arial" w:hAnsi="Arial" w:cs="Arial"/>
          <w:sz w:val="20"/>
          <w:szCs w:val="20"/>
        </w:rPr>
      </w:pPr>
    </w:p>
    <w:p w:rsidR="008039F8" w:rsidRDefault="008039F8" w:rsidP="00E330FE">
      <w:pPr>
        <w:ind w:right="-99" w:firstLine="0"/>
        <w:rPr>
          <w:rFonts w:ascii="Arial" w:hAnsi="Arial" w:cs="Arial"/>
          <w:sz w:val="20"/>
          <w:szCs w:val="20"/>
        </w:rPr>
      </w:pPr>
    </w:p>
    <w:p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rsidTr="00D7508A">
        <w:tc>
          <w:tcPr>
            <w:tcW w:w="4400" w:type="dxa"/>
          </w:tcPr>
          <w:p w:rsidR="008039F8" w:rsidRPr="0072408E" w:rsidRDefault="008039F8" w:rsidP="008039F8">
            <w:pPr>
              <w:suppressAutoHyphens/>
              <w:ind w:firstLine="0"/>
              <w:jc w:val="center"/>
              <w:rPr>
                <w:rFonts w:ascii="Arial" w:hAnsi="Arial" w:cs="Arial"/>
                <w:b/>
                <w:bCs/>
                <w:color w:val="000000"/>
                <w:u w:val="single"/>
                <w:lang w:eastAsia="zh-CN"/>
              </w:rPr>
            </w:pPr>
          </w:p>
          <w:p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Σμχος</w:t>
            </w:r>
            <w:proofErr w:type="spellEnd"/>
            <w:r w:rsidRPr="008039F8">
              <w:rPr>
                <w:rFonts w:ascii="Arial" w:hAnsi="Arial" w:cs="Arial"/>
                <w:bCs/>
                <w:color w:val="000000"/>
                <w:lang w:eastAsia="zh-CN"/>
              </w:rPr>
              <w:t xml:space="preserve"> (Ε) Κωνσταντίνος Π. </w:t>
            </w:r>
            <w:proofErr w:type="spellStart"/>
            <w:r w:rsidRPr="008039F8">
              <w:rPr>
                <w:rFonts w:ascii="Arial" w:hAnsi="Arial" w:cs="Arial"/>
                <w:bCs/>
                <w:color w:val="000000"/>
                <w:lang w:eastAsia="zh-CN"/>
              </w:rPr>
              <w:t>Καραγιαννόπουλος</w:t>
            </w:r>
            <w:proofErr w:type="spellEnd"/>
            <w:r w:rsidRPr="008039F8">
              <w:rPr>
                <w:rFonts w:ascii="Arial" w:hAnsi="Arial" w:cs="Arial"/>
                <w:bCs/>
                <w:color w:val="000000"/>
                <w:lang w:eastAsia="zh-CN"/>
              </w:rPr>
              <w:t xml:space="preserve"> Υποδιοικητής</w:t>
            </w:r>
          </w:p>
        </w:tc>
      </w:tr>
      <w:tr w:rsidR="008039F8" w:rsidRPr="008039F8" w:rsidTr="00D7508A">
        <w:trPr>
          <w:trHeight w:val="1115"/>
        </w:trPr>
        <w:tc>
          <w:tcPr>
            <w:tcW w:w="4400" w:type="dxa"/>
          </w:tcPr>
          <w:p w:rsidR="008039F8" w:rsidRDefault="008039F8" w:rsidP="008039F8">
            <w:pPr>
              <w:suppressAutoHyphens/>
              <w:ind w:firstLine="0"/>
              <w:jc w:val="center"/>
              <w:rPr>
                <w:rFonts w:ascii="Arial" w:hAnsi="Arial" w:cs="Arial"/>
                <w:b/>
                <w:bCs/>
                <w:color w:val="000000"/>
                <w:u w:val="single"/>
                <w:lang w:eastAsia="zh-CN"/>
              </w:rPr>
            </w:pPr>
          </w:p>
          <w:p w:rsidR="00306646" w:rsidRDefault="00306646" w:rsidP="008039F8">
            <w:pPr>
              <w:suppressAutoHyphens/>
              <w:ind w:firstLine="0"/>
              <w:jc w:val="center"/>
              <w:rPr>
                <w:rFonts w:ascii="Arial" w:hAnsi="Arial" w:cs="Arial"/>
                <w:b/>
                <w:bCs/>
                <w:color w:val="000000"/>
                <w:u w:val="single"/>
                <w:lang w:eastAsia="zh-CN"/>
              </w:rPr>
            </w:pPr>
          </w:p>
          <w:p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p w:rsidR="008039F8" w:rsidRPr="008039F8" w:rsidRDefault="008039F8" w:rsidP="008039F8">
            <w:pPr>
              <w:suppressAutoHyphens/>
              <w:ind w:firstLine="0"/>
              <w:jc w:val="left"/>
              <w:rPr>
                <w:rFonts w:ascii="Arial" w:hAnsi="Arial" w:cs="Arial"/>
                <w:b/>
                <w:bCs/>
                <w:color w:val="000000"/>
                <w:u w:val="single"/>
                <w:lang w:eastAsia="zh-CN"/>
              </w:rPr>
            </w:pPr>
          </w:p>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tc>
      </w:tr>
    </w:tbl>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36" w:rsidRDefault="008A2336" w:rsidP="007F5D3B">
      <w:r>
        <w:separator/>
      </w:r>
    </w:p>
  </w:endnote>
  <w:endnote w:type="continuationSeparator" w:id="0">
    <w:p w:rsidR="008A2336" w:rsidRDefault="008A2336"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F" w:rsidRPr="005C3EE1" w:rsidRDefault="000A20AF" w:rsidP="005C3EE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36" w:rsidRDefault="008A2336">
      <w:r>
        <w:separator/>
      </w:r>
    </w:p>
  </w:footnote>
  <w:footnote w:type="continuationSeparator" w:id="0">
    <w:p w:rsidR="008A2336" w:rsidRDefault="008A2336">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284BE6">
          <w:rPr>
            <w:rFonts w:ascii="Arial" w:hAnsi="Arial" w:cs="Arial"/>
            <w:noProof/>
          </w:rPr>
          <w:t>1</w:t>
        </w:r>
        <w:r w:rsidRPr="000A20AF">
          <w:rPr>
            <w:rFonts w:ascii="Arial" w:hAnsi="Arial" w:cs="Arial"/>
          </w:rPr>
          <w:fldChar w:fldCharType="end"/>
        </w:r>
      </w:p>
    </w:sdtContent>
  </w:sdt>
  <w:p w:rsidR="005C3EE1" w:rsidRDefault="005C3EE1" w:rsidP="005C3EE1">
    <w:pPr>
      <w:pStyle w:val="af0"/>
    </w:pPr>
  </w:p>
  <w:p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E1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DD2"/>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8D22-A4CE-4FD0-A7FF-1FEA5E9E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2704</Words>
  <Characters>14602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17272</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16</cp:revision>
  <cp:lastPrinted>2020-09-30T07:17:00Z</cp:lastPrinted>
  <dcterms:created xsi:type="dcterms:W3CDTF">2020-10-02T05:15:00Z</dcterms:created>
  <dcterms:modified xsi:type="dcterms:W3CDTF">2020-10-23T11:11:00Z</dcterms:modified>
</cp:coreProperties>
</file>